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45" w:rsidRPr="00456945" w:rsidRDefault="00456945" w:rsidP="00456945">
      <w:pPr>
        <w:pBdr>
          <w:bottom w:val="single" w:sz="12" w:space="1" w:color="auto"/>
        </w:pBdr>
        <w:jc w:val="center"/>
        <w:rPr>
          <w:b/>
          <w:lang w:val="en-US"/>
        </w:rPr>
      </w:pPr>
      <w:r w:rsidRPr="00456945">
        <w:rPr>
          <w:b/>
          <w:lang w:val="en-US"/>
        </w:rPr>
        <w:t>The Auditing Commission of “Kubanenergo”, JSC</w:t>
      </w:r>
    </w:p>
    <w:p w:rsidR="00456945" w:rsidRPr="00456945" w:rsidRDefault="00456945" w:rsidP="00456945">
      <w:pPr>
        <w:pBdr>
          <w:bottom w:val="single" w:sz="12" w:space="1" w:color="auto"/>
        </w:pBdr>
        <w:jc w:val="center"/>
        <w:rPr>
          <w:b/>
          <w:lang w:val="en-US"/>
        </w:rPr>
      </w:pPr>
    </w:p>
    <w:p w:rsidR="00456945" w:rsidRPr="00456945" w:rsidRDefault="00456945" w:rsidP="00456945">
      <w:pPr>
        <w:jc w:val="center"/>
        <w:rPr>
          <w:b/>
          <w:lang w:val="en-US"/>
        </w:rPr>
      </w:pPr>
    </w:p>
    <w:p w:rsidR="00456945" w:rsidRPr="00456945" w:rsidRDefault="00456945" w:rsidP="00456945">
      <w:pPr>
        <w:jc w:val="center"/>
        <w:rPr>
          <w:b/>
          <w:lang w:val="en-US"/>
        </w:rPr>
      </w:pPr>
      <w:r w:rsidRPr="00456945">
        <w:rPr>
          <w:b/>
          <w:lang w:val="en-US"/>
        </w:rPr>
        <w:t>Minutes No. 4</w:t>
      </w:r>
    </w:p>
    <w:p w:rsidR="00456945" w:rsidRPr="00456945" w:rsidRDefault="00456945" w:rsidP="00456945">
      <w:pPr>
        <w:jc w:val="center"/>
        <w:rPr>
          <w:b/>
          <w:lang w:val="en-US"/>
        </w:rPr>
      </w:pPr>
      <w:proofErr w:type="gramStart"/>
      <w:r w:rsidRPr="00456945">
        <w:rPr>
          <w:b/>
          <w:lang w:val="en-US"/>
        </w:rPr>
        <w:t>of</w:t>
      </w:r>
      <w:proofErr w:type="gramEnd"/>
      <w:r w:rsidRPr="00456945">
        <w:rPr>
          <w:b/>
          <w:lang w:val="en-US"/>
        </w:rPr>
        <w:t xml:space="preserve"> the meeting of the Auditing Commission of “Kubanenergo”, JSC</w:t>
      </w:r>
    </w:p>
    <w:p w:rsidR="00456945" w:rsidRPr="00456945" w:rsidRDefault="00456945" w:rsidP="00456945">
      <w:pPr>
        <w:jc w:val="center"/>
        <w:rPr>
          <w:b/>
          <w:lang w:val="en-US"/>
        </w:rPr>
      </w:pPr>
    </w:p>
    <w:tbl>
      <w:tblPr>
        <w:tblW w:w="0" w:type="auto"/>
        <w:tblLook w:val="01E0" w:firstRow="1" w:lastRow="1" w:firstColumn="1" w:lastColumn="1" w:noHBand="0" w:noVBand="0"/>
      </w:tblPr>
      <w:tblGrid>
        <w:gridCol w:w="4785"/>
        <w:gridCol w:w="4786"/>
      </w:tblGrid>
      <w:tr w:rsidR="00456945" w:rsidRPr="00456945" w:rsidTr="00915E8F">
        <w:trPr>
          <w:trHeight w:val="280"/>
        </w:trPr>
        <w:tc>
          <w:tcPr>
            <w:tcW w:w="4785" w:type="dxa"/>
            <w:shd w:val="clear" w:color="auto" w:fill="auto"/>
          </w:tcPr>
          <w:p w:rsidR="00456945" w:rsidRPr="00456945" w:rsidRDefault="00456945" w:rsidP="00915E8F">
            <w:pPr>
              <w:rPr>
                <w:lang w:val="en-US"/>
              </w:rPr>
            </w:pPr>
            <w:r w:rsidRPr="00456945">
              <w:rPr>
                <w:lang w:val="en-US"/>
              </w:rPr>
              <w:t>Moscow</w:t>
            </w:r>
          </w:p>
        </w:tc>
        <w:tc>
          <w:tcPr>
            <w:tcW w:w="4786" w:type="dxa"/>
            <w:shd w:val="clear" w:color="auto" w:fill="auto"/>
          </w:tcPr>
          <w:p w:rsidR="00456945" w:rsidRPr="00456945" w:rsidRDefault="00456945" w:rsidP="00915E8F">
            <w:pPr>
              <w:jc w:val="right"/>
              <w:rPr>
                <w:lang w:val="en-US"/>
              </w:rPr>
            </w:pPr>
            <w:r w:rsidRPr="00456945">
              <w:rPr>
                <w:lang w:val="en-US"/>
              </w:rPr>
              <w:t>September 2, 2013</w:t>
            </w:r>
          </w:p>
        </w:tc>
      </w:tr>
    </w:tbl>
    <w:p w:rsidR="00456945" w:rsidRPr="00456945" w:rsidRDefault="00456945" w:rsidP="00456945">
      <w:pPr>
        <w:jc w:val="both"/>
        <w:rPr>
          <w:lang w:val="en-US"/>
        </w:rPr>
      </w:pPr>
    </w:p>
    <w:p w:rsidR="00456945" w:rsidRPr="00456945" w:rsidRDefault="00456945" w:rsidP="00456945">
      <w:pPr>
        <w:jc w:val="both"/>
        <w:rPr>
          <w:lang w:val="en-US"/>
        </w:rPr>
      </w:pPr>
      <w:r w:rsidRPr="00456945">
        <w:rPr>
          <w:lang w:val="en-US"/>
        </w:rPr>
        <w:t>Quantitative composition of the Auditing Commission specified by the Charter of the Company – 5 persons</w:t>
      </w:r>
    </w:p>
    <w:p w:rsidR="00456945" w:rsidRPr="00456945" w:rsidRDefault="00456945" w:rsidP="00456945">
      <w:pPr>
        <w:jc w:val="both"/>
        <w:rPr>
          <w:lang w:val="en-US"/>
        </w:rPr>
      </w:pPr>
    </w:p>
    <w:p w:rsidR="00456945" w:rsidRPr="00456945" w:rsidRDefault="00456945" w:rsidP="00456945">
      <w:pPr>
        <w:jc w:val="both"/>
        <w:rPr>
          <w:lang w:val="en-US"/>
        </w:rPr>
      </w:pPr>
      <w:r w:rsidRPr="00456945">
        <w:rPr>
          <w:lang w:val="en-US"/>
        </w:rPr>
        <w:t xml:space="preserve">Members of the Auditing Commission of “Kubanenergo”, JSC submitted the written opinion (filled in and signed questionnaires) on the agenda items of the meeting of the Auditing Commission of the Company: </w:t>
      </w:r>
      <w:proofErr w:type="spellStart"/>
      <w:r w:rsidRPr="00456945">
        <w:rPr>
          <w:lang w:val="en-US"/>
        </w:rPr>
        <w:t>Shmakov</w:t>
      </w:r>
      <w:proofErr w:type="spellEnd"/>
      <w:r w:rsidRPr="00456945">
        <w:rPr>
          <w:lang w:val="en-US"/>
        </w:rPr>
        <w:t xml:space="preserve"> I.V., </w:t>
      </w:r>
      <w:proofErr w:type="spellStart"/>
      <w:r w:rsidRPr="00456945">
        <w:rPr>
          <w:lang w:val="en-US"/>
        </w:rPr>
        <w:t>Kirillov</w:t>
      </w:r>
      <w:proofErr w:type="spellEnd"/>
      <w:r w:rsidRPr="00456945">
        <w:rPr>
          <w:lang w:val="en-US"/>
        </w:rPr>
        <w:t xml:space="preserve"> A.N., Adler </w:t>
      </w:r>
      <w:proofErr w:type="spellStart"/>
      <w:r w:rsidRPr="00456945">
        <w:rPr>
          <w:lang w:val="en-US"/>
        </w:rPr>
        <w:t>Yu.V</w:t>
      </w:r>
      <w:proofErr w:type="spellEnd"/>
      <w:r w:rsidRPr="00456945">
        <w:rPr>
          <w:lang w:val="en-US"/>
        </w:rPr>
        <w:t xml:space="preserve">., </w:t>
      </w:r>
      <w:proofErr w:type="spellStart"/>
      <w:proofErr w:type="gramStart"/>
      <w:r w:rsidRPr="00456945">
        <w:rPr>
          <w:lang w:val="en-US"/>
        </w:rPr>
        <w:t>Pronin</w:t>
      </w:r>
      <w:proofErr w:type="spellEnd"/>
      <w:proofErr w:type="gramEnd"/>
      <w:r w:rsidRPr="00456945">
        <w:rPr>
          <w:lang w:val="en-US"/>
        </w:rPr>
        <w:t xml:space="preserve"> N.N.</w:t>
      </w:r>
    </w:p>
    <w:p w:rsidR="00456945" w:rsidRPr="00456945" w:rsidRDefault="00456945" w:rsidP="00456945">
      <w:pPr>
        <w:jc w:val="both"/>
        <w:rPr>
          <w:lang w:val="en-US"/>
        </w:rPr>
      </w:pPr>
      <w:proofErr w:type="spellStart"/>
      <w:r w:rsidRPr="00456945">
        <w:rPr>
          <w:lang w:val="en-US"/>
        </w:rPr>
        <w:t>Bogashov</w:t>
      </w:r>
      <w:proofErr w:type="spellEnd"/>
      <w:r w:rsidRPr="00456945">
        <w:rPr>
          <w:lang w:val="en-US"/>
        </w:rPr>
        <w:t xml:space="preserve"> </w:t>
      </w:r>
      <w:proofErr w:type="spellStart"/>
      <w:r w:rsidRPr="00456945">
        <w:rPr>
          <w:lang w:val="en-US"/>
        </w:rPr>
        <w:t>A.Ye</w:t>
      </w:r>
      <w:proofErr w:type="spellEnd"/>
      <w:r w:rsidRPr="00456945">
        <w:rPr>
          <w:lang w:val="en-US"/>
        </w:rPr>
        <w:t xml:space="preserve">. </w:t>
      </w:r>
      <w:proofErr w:type="gramStart"/>
      <w:r w:rsidRPr="00456945">
        <w:rPr>
          <w:lang w:val="en-US"/>
        </w:rPr>
        <w:t>did</w:t>
      </w:r>
      <w:proofErr w:type="gramEnd"/>
      <w:r w:rsidRPr="00456945">
        <w:rPr>
          <w:lang w:val="en-US"/>
        </w:rPr>
        <w:t xml:space="preserve"> not participate in meeting of the Auditing Commission.</w:t>
      </w:r>
    </w:p>
    <w:p w:rsidR="00456945" w:rsidRPr="00456945" w:rsidRDefault="00456945" w:rsidP="00456945">
      <w:pPr>
        <w:jc w:val="both"/>
        <w:rPr>
          <w:lang w:val="en-US"/>
        </w:rPr>
      </w:pPr>
      <w:r w:rsidRPr="00456945">
        <w:rPr>
          <w:lang w:val="en-US"/>
        </w:rPr>
        <w:t xml:space="preserve">Quorum, necessary for making decisions on all the agenda items of the Auditing Commission meeting, is present. The decision on the agenda items of the Auditing Commission meeting </w:t>
      </w:r>
      <w:proofErr w:type="gramStart"/>
      <w:r w:rsidRPr="00456945">
        <w:rPr>
          <w:lang w:val="en-US"/>
        </w:rPr>
        <w:t>should be adopted</w:t>
      </w:r>
      <w:proofErr w:type="gramEnd"/>
      <w:r w:rsidRPr="00456945">
        <w:rPr>
          <w:lang w:val="en-US"/>
        </w:rPr>
        <w:t xml:space="preserve"> by a majority of votes of the members of the Auditing Commission of the Company.</w:t>
      </w:r>
    </w:p>
    <w:p w:rsidR="00456945" w:rsidRPr="00456945" w:rsidRDefault="00456945" w:rsidP="00456945">
      <w:pPr>
        <w:jc w:val="center"/>
        <w:rPr>
          <w:b/>
          <w:lang w:val="en-US"/>
        </w:rPr>
      </w:pPr>
    </w:p>
    <w:p w:rsidR="00456945" w:rsidRPr="00456945" w:rsidRDefault="00456945" w:rsidP="00456945">
      <w:pPr>
        <w:jc w:val="center"/>
        <w:rPr>
          <w:b/>
          <w:lang w:val="en-US"/>
        </w:rPr>
      </w:pPr>
      <w:r w:rsidRPr="00456945">
        <w:rPr>
          <w:b/>
          <w:lang w:val="en-US"/>
        </w:rPr>
        <w:t xml:space="preserve">Agenda: </w:t>
      </w:r>
    </w:p>
    <w:p w:rsidR="00456945" w:rsidRPr="00456945" w:rsidRDefault="00456945" w:rsidP="00456945">
      <w:pPr>
        <w:numPr>
          <w:ilvl w:val="0"/>
          <w:numId w:val="1"/>
        </w:numPr>
        <w:jc w:val="both"/>
        <w:rPr>
          <w:b/>
          <w:lang w:val="en-US"/>
        </w:rPr>
      </w:pPr>
      <w:r w:rsidRPr="00456945">
        <w:rPr>
          <w:lang w:val="en-US"/>
        </w:rPr>
        <w:t>On approving results of audit of Company’s observing legal acts, approved by the federal bodies of executive power in order to carry out plan of activities “Increase of availability of power infrastructure”.</w:t>
      </w:r>
    </w:p>
    <w:p w:rsidR="00456945" w:rsidRPr="00456945" w:rsidRDefault="00456945" w:rsidP="00456945">
      <w:pPr>
        <w:ind w:left="720"/>
        <w:jc w:val="both"/>
        <w:rPr>
          <w:b/>
          <w:lang w:val="en-US"/>
        </w:rPr>
      </w:pPr>
    </w:p>
    <w:p w:rsidR="00456945" w:rsidRPr="00456945" w:rsidRDefault="00456945" w:rsidP="00456945">
      <w:pPr>
        <w:jc w:val="both"/>
        <w:rPr>
          <w:lang w:val="en-US"/>
        </w:rPr>
      </w:pPr>
      <w:r w:rsidRPr="00456945">
        <w:rPr>
          <w:b/>
          <w:lang w:val="en-US"/>
        </w:rPr>
        <w:t xml:space="preserve">Discussed: </w:t>
      </w:r>
      <w:r w:rsidRPr="00456945">
        <w:rPr>
          <w:lang w:val="en-US"/>
        </w:rPr>
        <w:t>The results of</w:t>
      </w:r>
      <w:r w:rsidRPr="00456945">
        <w:rPr>
          <w:b/>
          <w:lang w:val="en-US"/>
        </w:rPr>
        <w:t xml:space="preserve"> </w:t>
      </w:r>
      <w:r w:rsidRPr="00456945">
        <w:rPr>
          <w:lang w:val="en-US"/>
        </w:rPr>
        <w:t>audit</w:t>
      </w:r>
      <w:r w:rsidRPr="00456945">
        <w:rPr>
          <w:b/>
          <w:lang w:val="en-US"/>
        </w:rPr>
        <w:t xml:space="preserve">, </w:t>
      </w:r>
      <w:r w:rsidRPr="00456945">
        <w:rPr>
          <w:lang w:val="en-US"/>
        </w:rPr>
        <w:t xml:space="preserve">recommendations to the Company  </w:t>
      </w:r>
    </w:p>
    <w:p w:rsidR="00456945" w:rsidRPr="00456945" w:rsidRDefault="00456945" w:rsidP="00456945">
      <w:pPr>
        <w:jc w:val="both"/>
        <w:rPr>
          <w:lang w:val="en-US"/>
        </w:rPr>
      </w:pPr>
      <w:r w:rsidRPr="00456945">
        <w:rPr>
          <w:b/>
          <w:lang w:val="en-US"/>
        </w:rPr>
        <w:t xml:space="preserve">Noted: </w:t>
      </w:r>
      <w:r w:rsidRPr="00456945">
        <w:rPr>
          <w:lang w:val="en-US"/>
        </w:rPr>
        <w:t xml:space="preserve">The following members participated in audit of Company’s observing legal acts, approved by the federal bodies of executive power in order to carry out plan of activities “Increase of availability of power infrastructure”: </w:t>
      </w:r>
      <w:proofErr w:type="spellStart"/>
      <w:r w:rsidRPr="00456945">
        <w:rPr>
          <w:lang w:val="en-US"/>
        </w:rPr>
        <w:t>Kirillov</w:t>
      </w:r>
      <w:proofErr w:type="spellEnd"/>
      <w:r w:rsidRPr="00456945">
        <w:rPr>
          <w:lang w:val="en-US"/>
        </w:rPr>
        <w:t xml:space="preserve"> A.N., member of the Auditing Commission, Smirnov V.N. – invited specialist (leading expert of Department for internal audit and risks management, Kubanenergo JSC).</w:t>
      </w:r>
    </w:p>
    <w:p w:rsidR="00456945" w:rsidRPr="00456945" w:rsidRDefault="00456945" w:rsidP="00456945">
      <w:pPr>
        <w:jc w:val="both"/>
        <w:rPr>
          <w:b/>
          <w:lang w:val="en-US"/>
        </w:rPr>
      </w:pPr>
      <w:r w:rsidRPr="00456945">
        <w:rPr>
          <w:b/>
          <w:lang w:val="en-US"/>
        </w:rPr>
        <w:t xml:space="preserve">Decision: </w:t>
      </w:r>
    </w:p>
    <w:p w:rsidR="00456945" w:rsidRPr="00456945" w:rsidRDefault="00456945" w:rsidP="00456945">
      <w:pPr>
        <w:numPr>
          <w:ilvl w:val="0"/>
          <w:numId w:val="2"/>
        </w:numPr>
        <w:jc w:val="both"/>
        <w:rPr>
          <w:lang w:val="en-US"/>
        </w:rPr>
      </w:pPr>
      <w:r w:rsidRPr="00456945">
        <w:rPr>
          <w:lang w:val="en-US"/>
        </w:rPr>
        <w:t xml:space="preserve">To approve the results of audit of </w:t>
      </w:r>
      <w:proofErr w:type="gramStart"/>
      <w:r w:rsidRPr="00456945">
        <w:rPr>
          <w:lang w:val="en-US"/>
        </w:rPr>
        <w:t>Company’s</w:t>
      </w:r>
      <w:proofErr w:type="gramEnd"/>
      <w:r w:rsidRPr="00456945">
        <w:rPr>
          <w:lang w:val="en-US"/>
        </w:rPr>
        <w:t xml:space="preserve"> observing legal acts, approved by the federal bodies of executive power in order to carry out plan of activities “Increase of availability of power infrastructure”.</w:t>
      </w:r>
    </w:p>
    <w:p w:rsidR="00456945" w:rsidRPr="00456945" w:rsidRDefault="00456945" w:rsidP="00456945">
      <w:pPr>
        <w:numPr>
          <w:ilvl w:val="0"/>
          <w:numId w:val="2"/>
        </w:numPr>
        <w:jc w:val="both"/>
        <w:rPr>
          <w:lang w:val="en-US"/>
        </w:rPr>
      </w:pPr>
      <w:r w:rsidRPr="00456945">
        <w:rPr>
          <w:lang w:val="en-US"/>
        </w:rPr>
        <w:t>Members of the Auditing Commission and invited specialist (expert) should sign the Act of Auditing Commission prepared by the results of audit of Company’s observing legal acts, approved by the federal bodies of executive power in order to carry out plan of activities “Increase of availability of power infrastructure”.</w:t>
      </w:r>
    </w:p>
    <w:p w:rsidR="00456945" w:rsidRPr="00456945" w:rsidRDefault="00456945" w:rsidP="00456945">
      <w:pPr>
        <w:jc w:val="both"/>
        <w:rPr>
          <w:b/>
          <w:lang w:val="en-US"/>
        </w:rPr>
      </w:pPr>
      <w:r w:rsidRPr="00456945">
        <w:rPr>
          <w:b/>
          <w:lang w:val="en-US"/>
        </w:rPr>
        <w:t>Voting results:</w:t>
      </w:r>
    </w:p>
    <w:p w:rsidR="00456945" w:rsidRPr="00456945" w:rsidRDefault="00456945" w:rsidP="00456945">
      <w:pPr>
        <w:jc w:val="both"/>
        <w:rPr>
          <w:lang w:val="en-US"/>
        </w:rPr>
      </w:pPr>
      <w:r w:rsidRPr="00456945">
        <w:rPr>
          <w:lang w:val="en-US"/>
        </w:rPr>
        <w:t xml:space="preserve">     “FOR”: (</w:t>
      </w:r>
      <w:proofErr w:type="spellStart"/>
      <w:r w:rsidRPr="00456945">
        <w:rPr>
          <w:lang w:val="en-US"/>
        </w:rPr>
        <w:t>Shmakov</w:t>
      </w:r>
      <w:proofErr w:type="spellEnd"/>
      <w:r w:rsidRPr="00456945">
        <w:rPr>
          <w:lang w:val="en-US"/>
        </w:rPr>
        <w:t xml:space="preserve"> I.V., </w:t>
      </w:r>
      <w:proofErr w:type="spellStart"/>
      <w:r w:rsidRPr="00456945">
        <w:rPr>
          <w:lang w:val="en-US"/>
        </w:rPr>
        <w:t>Kirillov</w:t>
      </w:r>
      <w:proofErr w:type="spellEnd"/>
      <w:r w:rsidRPr="00456945">
        <w:rPr>
          <w:lang w:val="en-US"/>
        </w:rPr>
        <w:t xml:space="preserve"> A.N., Adler </w:t>
      </w:r>
      <w:proofErr w:type="spellStart"/>
      <w:r w:rsidRPr="00456945">
        <w:rPr>
          <w:lang w:val="en-US"/>
        </w:rPr>
        <w:t>Yu.V</w:t>
      </w:r>
      <w:proofErr w:type="spellEnd"/>
      <w:r w:rsidRPr="00456945">
        <w:rPr>
          <w:lang w:val="en-US"/>
        </w:rPr>
        <w:t xml:space="preserve">., </w:t>
      </w:r>
      <w:proofErr w:type="spellStart"/>
      <w:r w:rsidRPr="00456945">
        <w:rPr>
          <w:lang w:val="en-US"/>
        </w:rPr>
        <w:t>Pronin</w:t>
      </w:r>
      <w:proofErr w:type="spellEnd"/>
      <w:r w:rsidRPr="00456945">
        <w:rPr>
          <w:lang w:val="en-US"/>
        </w:rPr>
        <w:t xml:space="preserve"> N.N.) – 4 persons</w:t>
      </w:r>
    </w:p>
    <w:p w:rsidR="00456945" w:rsidRPr="00456945" w:rsidRDefault="00456945" w:rsidP="00456945">
      <w:pPr>
        <w:ind w:left="360"/>
        <w:jc w:val="both"/>
        <w:rPr>
          <w:lang w:val="en-US"/>
        </w:rPr>
      </w:pPr>
      <w:proofErr w:type="gramStart"/>
      <w:r w:rsidRPr="00456945">
        <w:rPr>
          <w:lang w:val="en-US"/>
        </w:rPr>
        <w:t>“AGAINST”: no.</w:t>
      </w:r>
      <w:proofErr w:type="gramEnd"/>
    </w:p>
    <w:p w:rsidR="00456945" w:rsidRPr="00456945" w:rsidRDefault="00456945" w:rsidP="00456945">
      <w:pPr>
        <w:ind w:left="360"/>
        <w:jc w:val="both"/>
        <w:rPr>
          <w:lang w:val="en-US"/>
        </w:rPr>
      </w:pPr>
      <w:proofErr w:type="gramStart"/>
      <w:r w:rsidRPr="00456945">
        <w:rPr>
          <w:lang w:val="en-US"/>
        </w:rPr>
        <w:t>“ABSTAINED”: no.</w:t>
      </w:r>
      <w:proofErr w:type="gramEnd"/>
    </w:p>
    <w:p w:rsidR="00456945" w:rsidRPr="00456945" w:rsidRDefault="00456945" w:rsidP="00456945">
      <w:pPr>
        <w:jc w:val="both"/>
        <w:rPr>
          <w:lang w:val="en-US"/>
        </w:rPr>
      </w:pPr>
      <w:bookmarkStart w:id="0" w:name="_GoBack"/>
      <w:bookmarkEnd w:id="0"/>
    </w:p>
    <w:p w:rsidR="00456945" w:rsidRPr="00456945" w:rsidRDefault="00456945" w:rsidP="00456945">
      <w:pPr>
        <w:jc w:val="both"/>
        <w:rPr>
          <w:lang w:val="en-US"/>
        </w:rPr>
      </w:pPr>
    </w:p>
    <w:tbl>
      <w:tblPr>
        <w:tblW w:w="0" w:type="auto"/>
        <w:tblLook w:val="01E0" w:firstRow="1" w:lastRow="1" w:firstColumn="1" w:lastColumn="1" w:noHBand="0" w:noVBand="0"/>
      </w:tblPr>
      <w:tblGrid>
        <w:gridCol w:w="4785"/>
        <w:gridCol w:w="4786"/>
      </w:tblGrid>
      <w:tr w:rsidR="00456945" w:rsidRPr="00456945" w:rsidTr="00915E8F">
        <w:tc>
          <w:tcPr>
            <w:tcW w:w="4785" w:type="dxa"/>
            <w:shd w:val="clear" w:color="auto" w:fill="auto"/>
          </w:tcPr>
          <w:p w:rsidR="00456945" w:rsidRPr="00456945" w:rsidRDefault="00456945" w:rsidP="00915E8F">
            <w:pPr>
              <w:rPr>
                <w:lang w:val="en-US"/>
              </w:rPr>
            </w:pPr>
            <w:r w:rsidRPr="00456945">
              <w:rPr>
                <w:lang w:val="en-US"/>
              </w:rPr>
              <w:t>Chairperson of the Auditing Commission of  “Kubanenergo”, JSC</w:t>
            </w:r>
          </w:p>
          <w:p w:rsidR="00456945" w:rsidRPr="00456945" w:rsidRDefault="00456945" w:rsidP="00915E8F">
            <w:pPr>
              <w:rPr>
                <w:lang w:val="en-US"/>
              </w:rPr>
            </w:pPr>
          </w:p>
        </w:tc>
        <w:tc>
          <w:tcPr>
            <w:tcW w:w="4786" w:type="dxa"/>
            <w:shd w:val="clear" w:color="auto" w:fill="auto"/>
          </w:tcPr>
          <w:p w:rsidR="00456945" w:rsidRPr="00456945" w:rsidRDefault="00456945" w:rsidP="00915E8F">
            <w:pPr>
              <w:jc w:val="center"/>
              <w:rPr>
                <w:lang w:val="en-US"/>
              </w:rPr>
            </w:pPr>
            <w:r w:rsidRPr="00456945">
              <w:rPr>
                <w:lang w:val="en-US"/>
              </w:rPr>
              <w:t xml:space="preserve">      _________ </w:t>
            </w:r>
            <w:proofErr w:type="spellStart"/>
            <w:r w:rsidRPr="00456945">
              <w:rPr>
                <w:lang w:val="en-US"/>
              </w:rPr>
              <w:t>Shmakov</w:t>
            </w:r>
            <w:proofErr w:type="spellEnd"/>
            <w:r w:rsidRPr="00456945">
              <w:rPr>
                <w:lang w:val="en-US"/>
              </w:rPr>
              <w:t xml:space="preserve"> I.V.</w:t>
            </w:r>
          </w:p>
        </w:tc>
      </w:tr>
      <w:tr w:rsidR="00456945" w:rsidRPr="00456945" w:rsidTr="00915E8F">
        <w:tc>
          <w:tcPr>
            <w:tcW w:w="4785" w:type="dxa"/>
            <w:shd w:val="clear" w:color="auto" w:fill="auto"/>
          </w:tcPr>
          <w:p w:rsidR="00456945" w:rsidRPr="00456945" w:rsidRDefault="00456945" w:rsidP="00915E8F">
            <w:pPr>
              <w:rPr>
                <w:lang w:val="en-US"/>
              </w:rPr>
            </w:pPr>
            <w:r w:rsidRPr="00456945">
              <w:rPr>
                <w:lang w:val="en-US"/>
              </w:rPr>
              <w:t>Secretary of</w:t>
            </w:r>
            <w:r w:rsidRPr="00456945">
              <w:rPr>
                <w:u w:val="single"/>
                <w:lang w:val="en-US"/>
              </w:rPr>
              <w:t xml:space="preserve"> </w:t>
            </w:r>
            <w:r w:rsidRPr="00456945">
              <w:rPr>
                <w:lang w:val="en-US"/>
              </w:rPr>
              <w:t>the Auditing Commission of  “Kubanenergo”, JSC</w:t>
            </w:r>
          </w:p>
        </w:tc>
        <w:tc>
          <w:tcPr>
            <w:tcW w:w="4786" w:type="dxa"/>
            <w:shd w:val="clear" w:color="auto" w:fill="auto"/>
          </w:tcPr>
          <w:p w:rsidR="00456945" w:rsidRPr="00456945" w:rsidRDefault="00456945" w:rsidP="00915E8F">
            <w:pPr>
              <w:jc w:val="center"/>
              <w:rPr>
                <w:lang w:val="en-US"/>
              </w:rPr>
            </w:pPr>
            <w:r w:rsidRPr="00456945">
              <w:rPr>
                <w:lang w:val="en-US"/>
              </w:rPr>
              <w:t xml:space="preserve">           __________ </w:t>
            </w:r>
            <w:proofErr w:type="spellStart"/>
            <w:r w:rsidRPr="00456945">
              <w:rPr>
                <w:lang w:val="en-US"/>
              </w:rPr>
              <w:t>Kirillov</w:t>
            </w:r>
            <w:proofErr w:type="spellEnd"/>
            <w:r w:rsidRPr="00456945">
              <w:rPr>
                <w:lang w:val="en-US"/>
              </w:rPr>
              <w:t xml:space="preserve"> A.N.</w:t>
            </w:r>
          </w:p>
        </w:tc>
      </w:tr>
    </w:tbl>
    <w:p w:rsidR="00456945" w:rsidRPr="00456945" w:rsidRDefault="00456945" w:rsidP="00456945">
      <w:pPr>
        <w:jc w:val="both"/>
        <w:rPr>
          <w:u w:val="single"/>
          <w:lang w:val="en-US"/>
        </w:rPr>
      </w:pPr>
    </w:p>
    <w:p w:rsidR="0088584B" w:rsidRPr="00456945" w:rsidRDefault="00456945"/>
    <w:sectPr w:rsidR="0088584B" w:rsidRPr="00456945" w:rsidSect="00B807BB">
      <w:footerReference w:type="even" r:id="rId6"/>
      <w:footerReference w:type="default" r:id="rId7"/>
      <w:pgSz w:w="11906" w:h="16838" w:code="9"/>
      <w:pgMar w:top="1079" w:right="851" w:bottom="71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BF" w:rsidRDefault="00456945" w:rsidP="0083077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C01BF" w:rsidRDefault="00456945" w:rsidP="00CC01B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BF" w:rsidRDefault="00456945" w:rsidP="00830771">
    <w:pPr>
      <w:pStyle w:val="a3"/>
      <w:framePr w:wrap="around" w:vAnchor="text" w:hAnchor="margin" w:xAlign="right" w:y="1"/>
      <w:rPr>
        <w:rStyle w:val="a5"/>
      </w:rPr>
    </w:pPr>
    <w:r>
      <w:rPr>
        <w:rStyle w:val="a5"/>
      </w:rPr>
      <w:fldChar w:fldCharType="begin"/>
    </w:r>
    <w:r>
      <w:rPr>
        <w:rStyle w:val="a5"/>
      </w:rPr>
      <w:instrText>PAGE</w:instrText>
    </w:r>
    <w:r>
      <w:rPr>
        <w:rStyle w:val="a5"/>
      </w:rPr>
      <w:instrText xml:space="preserve">  </w:instrText>
    </w:r>
    <w:r>
      <w:rPr>
        <w:rStyle w:val="a5"/>
      </w:rPr>
      <w:fldChar w:fldCharType="separate"/>
    </w:r>
    <w:r>
      <w:rPr>
        <w:rStyle w:val="a5"/>
        <w:noProof/>
      </w:rPr>
      <w:t>1</w:t>
    </w:r>
    <w:r>
      <w:rPr>
        <w:rStyle w:val="a5"/>
      </w:rPr>
      <w:fldChar w:fldCharType="end"/>
    </w:r>
  </w:p>
  <w:p w:rsidR="00CC01BF" w:rsidRDefault="00456945" w:rsidP="00CC01BF">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54FE0"/>
    <w:multiLevelType w:val="hybridMultilevel"/>
    <w:tmpl w:val="A746D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D76014"/>
    <w:multiLevelType w:val="hybridMultilevel"/>
    <w:tmpl w:val="AFACD802"/>
    <w:lvl w:ilvl="0" w:tplc="7B107A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945"/>
    <w:rsid w:val="00222072"/>
    <w:rsid w:val="00241872"/>
    <w:rsid w:val="00316AA3"/>
    <w:rsid w:val="00456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9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56945"/>
    <w:pPr>
      <w:tabs>
        <w:tab w:val="center" w:pos="4677"/>
        <w:tab w:val="right" w:pos="9355"/>
      </w:tabs>
    </w:pPr>
  </w:style>
  <w:style w:type="character" w:customStyle="1" w:styleId="a4">
    <w:name w:val="Нижний колонтитул Знак"/>
    <w:basedOn w:val="a0"/>
    <w:link w:val="a3"/>
    <w:rsid w:val="00456945"/>
    <w:rPr>
      <w:rFonts w:ascii="Times New Roman" w:eastAsia="Times New Roman" w:hAnsi="Times New Roman" w:cs="Times New Roman"/>
      <w:sz w:val="24"/>
      <w:szCs w:val="24"/>
      <w:lang w:eastAsia="ru-RU"/>
    </w:rPr>
  </w:style>
  <w:style w:type="character" w:styleId="a5">
    <w:name w:val="page number"/>
    <w:basedOn w:val="a0"/>
    <w:rsid w:val="004569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9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56945"/>
    <w:pPr>
      <w:tabs>
        <w:tab w:val="center" w:pos="4677"/>
        <w:tab w:val="right" w:pos="9355"/>
      </w:tabs>
    </w:pPr>
  </w:style>
  <w:style w:type="character" w:customStyle="1" w:styleId="a4">
    <w:name w:val="Нижний колонтитул Знак"/>
    <w:basedOn w:val="a0"/>
    <w:link w:val="a3"/>
    <w:rsid w:val="00456945"/>
    <w:rPr>
      <w:rFonts w:ascii="Times New Roman" w:eastAsia="Times New Roman" w:hAnsi="Times New Roman" w:cs="Times New Roman"/>
      <w:sz w:val="24"/>
      <w:szCs w:val="24"/>
      <w:lang w:eastAsia="ru-RU"/>
    </w:rPr>
  </w:style>
  <w:style w:type="character" w:styleId="a5">
    <w:name w:val="page number"/>
    <w:basedOn w:val="a0"/>
    <w:rsid w:val="00456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2058</Characters>
  <Application>Microsoft Office Word</Application>
  <DocSecurity>0</DocSecurity>
  <Lines>17</Lines>
  <Paragraphs>4</Paragraphs>
  <ScaleCrop>false</ScaleCrop>
  <Company>Krokoz™</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2014-03-03T15:15:00Z</dcterms:created>
  <dcterms:modified xsi:type="dcterms:W3CDTF">2014-03-03T15:16:00Z</dcterms:modified>
</cp:coreProperties>
</file>